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BCB22" w14:textId="535EB889" w:rsidR="00F37803" w:rsidRPr="00F37803" w:rsidRDefault="00C33355" w:rsidP="00F37803">
      <w:pPr>
        <w:shd w:val="clear" w:color="auto" w:fill="FFFFFF"/>
        <w:spacing w:before="100" w:beforeAutospacing="1" w:after="100" w:afterAutospacing="1" w:line="240" w:lineRule="auto"/>
        <w:jc w:val="center"/>
        <w:outlineLvl w:val="3"/>
        <w:rPr>
          <w:rFonts w:ascii="Arial" w:eastAsia="Times New Roman" w:hAnsi="Arial" w:cs="Arial"/>
          <w:b/>
          <w:bCs/>
          <w:color w:val="003366"/>
          <w:kern w:val="0"/>
          <w:sz w:val="28"/>
          <w:szCs w:val="28"/>
          <w14:ligatures w14:val="none"/>
        </w:rPr>
      </w:pPr>
      <w:r w:rsidRPr="00C33355">
        <w:rPr>
          <w:rFonts w:ascii="Arial" w:eastAsia="Times New Roman" w:hAnsi="Arial" w:cs="Arial"/>
          <w:b/>
          <w:bCs/>
          <w:color w:val="003366"/>
          <w:kern w:val="0"/>
          <w:sz w:val="28"/>
          <w:szCs w:val="28"/>
          <w14:ligatures w14:val="none"/>
        </w:rPr>
        <w:t>NCPD Activity Descriptions for ANCC (NARS) Reporting</w:t>
      </w:r>
    </w:p>
    <w:tbl>
      <w:tblPr>
        <w:tblW w:w="14057" w:type="dxa"/>
        <w:shd w:val="clear" w:color="auto" w:fill="FFFFFF"/>
        <w:tblCellMar>
          <w:left w:w="0" w:type="dxa"/>
          <w:right w:w="0" w:type="dxa"/>
        </w:tblCellMar>
        <w:tblLook w:val="04A0" w:firstRow="1" w:lastRow="0" w:firstColumn="1" w:lastColumn="0" w:noHBand="0" w:noVBand="1"/>
      </w:tblPr>
      <w:tblGrid>
        <w:gridCol w:w="14045"/>
        <w:gridCol w:w="6"/>
        <w:gridCol w:w="6"/>
      </w:tblGrid>
      <w:tr w:rsidR="008D6688" w:rsidRPr="008D6688" w14:paraId="4C93A1E8" w14:textId="77777777" w:rsidTr="00F37803">
        <w:tc>
          <w:tcPr>
            <w:tcW w:w="0" w:type="auto"/>
            <w:shd w:val="clear" w:color="auto" w:fill="FFFFFF"/>
          </w:tcPr>
          <w:tbl>
            <w:tblPr>
              <w:tblStyle w:val="TableGrid"/>
              <w:tblW w:w="14035" w:type="dxa"/>
              <w:tblLook w:val="04A0" w:firstRow="1" w:lastRow="0" w:firstColumn="1" w:lastColumn="0" w:noHBand="0" w:noVBand="1"/>
            </w:tblPr>
            <w:tblGrid>
              <w:gridCol w:w="1238"/>
              <w:gridCol w:w="1533"/>
              <w:gridCol w:w="11264"/>
            </w:tblGrid>
            <w:tr w:rsidR="008D6688" w14:paraId="28BAD798" w14:textId="77777777" w:rsidTr="008D6688">
              <w:tc>
                <w:tcPr>
                  <w:tcW w:w="1251" w:type="dxa"/>
                </w:tcPr>
                <w:p w14:paraId="4F1604BA" w14:textId="7F853779" w:rsidR="008D6688" w:rsidRPr="008D6688" w:rsidRDefault="008D6688" w:rsidP="008D6688">
                  <w:pPr>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Code</w:t>
                  </w:r>
                </w:p>
              </w:tc>
              <w:tc>
                <w:tcPr>
                  <w:tcW w:w="1252" w:type="dxa"/>
                </w:tcPr>
                <w:p w14:paraId="1AC0265E" w14:textId="1AE68A26" w:rsidR="008D6688" w:rsidRPr="008D6688" w:rsidRDefault="008D6688" w:rsidP="008D6688">
                  <w:pPr>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Code Key</w:t>
                  </w:r>
                </w:p>
              </w:tc>
              <w:tc>
                <w:tcPr>
                  <w:tcW w:w="11532" w:type="dxa"/>
                </w:tcPr>
                <w:p w14:paraId="588CB2F9" w14:textId="0A1EDC3D" w:rsidR="008D6688" w:rsidRPr="008D6688" w:rsidRDefault="008D6688" w:rsidP="008D6688">
                  <w:pPr>
                    <w:jc w:val="center"/>
                    <w:rPr>
                      <w:rFonts w:ascii="Arial" w:eastAsia="Times New Roman" w:hAnsi="Arial" w:cs="Arial"/>
                      <w:b/>
                      <w:bCs/>
                      <w:color w:val="000000"/>
                      <w:kern w:val="0"/>
                      <w:sz w:val="24"/>
                      <w:szCs w:val="24"/>
                      <w14:ligatures w14:val="none"/>
                    </w:rPr>
                  </w:pPr>
                  <w:r>
                    <w:rPr>
                      <w:rFonts w:ascii="Arial" w:eastAsia="Times New Roman" w:hAnsi="Arial" w:cs="Arial"/>
                      <w:b/>
                      <w:bCs/>
                      <w:color w:val="000000"/>
                      <w:kern w:val="0"/>
                      <w:sz w:val="24"/>
                      <w:szCs w:val="24"/>
                      <w14:ligatures w14:val="none"/>
                    </w:rPr>
                    <w:t>Description</w:t>
                  </w:r>
                </w:p>
              </w:tc>
            </w:tr>
            <w:tr w:rsidR="008D6688" w14:paraId="7F6B38FA" w14:textId="77777777" w:rsidTr="008D6688">
              <w:tc>
                <w:tcPr>
                  <w:tcW w:w="1251" w:type="dxa"/>
                </w:tcPr>
                <w:p w14:paraId="22EDB398" w14:textId="5CF3C5BC" w:rsidR="008D6688" w:rsidRDefault="008D6688" w:rsidP="008D6688">
                  <w:pPr>
                    <w:jc w:val="center"/>
                    <w:rPr>
                      <w:rFonts w:ascii="Arial" w:eastAsia="Times New Roman" w:hAnsi="Arial" w:cs="Arial"/>
                      <w:color w:val="000000"/>
                      <w:kern w:val="0"/>
                      <w:sz w:val="23"/>
                      <w:szCs w:val="23"/>
                      <w14:ligatures w14:val="none"/>
                    </w:rPr>
                  </w:pPr>
                  <w:r>
                    <w:rPr>
                      <w:rFonts w:ascii="Arial" w:eastAsia="Times New Roman" w:hAnsi="Arial" w:cs="Arial"/>
                      <w:color w:val="000000"/>
                      <w:kern w:val="0"/>
                      <w:sz w:val="23"/>
                      <w:szCs w:val="23"/>
                      <w14:ligatures w14:val="none"/>
                    </w:rPr>
                    <w:t>C</w:t>
                  </w:r>
                </w:p>
              </w:tc>
              <w:tc>
                <w:tcPr>
                  <w:tcW w:w="1252" w:type="dxa"/>
                </w:tcPr>
                <w:p w14:paraId="140F8BBD" w14:textId="4C89977D" w:rsidR="008D6688" w:rsidRDefault="008D6688" w:rsidP="008D6688">
                  <w:pPr>
                    <w:jc w:val="center"/>
                    <w:rPr>
                      <w:rFonts w:ascii="Arial" w:eastAsia="Times New Roman" w:hAnsi="Arial" w:cs="Arial"/>
                      <w:color w:val="000000"/>
                      <w:kern w:val="0"/>
                      <w:sz w:val="23"/>
                      <w:szCs w:val="23"/>
                      <w14:ligatures w14:val="none"/>
                    </w:rPr>
                  </w:pPr>
                  <w:r>
                    <w:rPr>
                      <w:rFonts w:ascii="Arial" w:eastAsia="Times New Roman" w:hAnsi="Arial" w:cs="Arial"/>
                      <w:color w:val="000000"/>
                      <w:kern w:val="0"/>
                      <w:sz w:val="23"/>
                      <w:szCs w:val="23"/>
                      <w14:ligatures w14:val="none"/>
                    </w:rPr>
                    <w:t>Course</w:t>
                  </w:r>
                </w:p>
              </w:tc>
              <w:tc>
                <w:tcPr>
                  <w:tcW w:w="11532" w:type="dxa"/>
                </w:tcPr>
                <w:p w14:paraId="60AEE334" w14:textId="77777777" w:rsidR="008D6688" w:rsidRDefault="008D6688" w:rsidP="008D6688">
                  <w:pPr>
                    <w:pStyle w:val="NormalWeb"/>
                    <w:shd w:val="clear" w:color="auto" w:fill="FFFFFF"/>
                    <w:rPr>
                      <w:rFonts w:ascii="Arial" w:hAnsi="Arial" w:cs="Arial"/>
                      <w:color w:val="000000"/>
                      <w:sz w:val="23"/>
                      <w:szCs w:val="23"/>
                    </w:rPr>
                  </w:pPr>
                  <w:r>
                    <w:rPr>
                      <w:rFonts w:ascii="Arial" w:hAnsi="Arial" w:cs="Arial"/>
                      <w:color w:val="000000"/>
                      <w:sz w:val="23"/>
                      <w:szCs w:val="23"/>
                    </w:rPr>
                    <w:t xml:space="preserve">A course is a live educational activity where the learner participates in person. A course is planned as an individual event. </w:t>
                  </w:r>
                  <w:r w:rsidRPr="00F37803">
                    <w:rPr>
                      <w:rFonts w:ascii="Arial" w:hAnsi="Arial" w:cs="Arial"/>
                      <w:b/>
                      <w:bCs/>
                      <w:color w:val="000000"/>
                      <w:sz w:val="23"/>
                      <w:szCs w:val="23"/>
                    </w:rPr>
                    <w:t>Examples: annual meeting, conference, seminar.</w:t>
                  </w:r>
                </w:p>
                <w:p w14:paraId="304F1B95" w14:textId="77777777" w:rsidR="008D6688" w:rsidRDefault="008D6688" w:rsidP="008D6688">
                  <w:pPr>
                    <w:pStyle w:val="NormalWeb"/>
                    <w:shd w:val="clear" w:color="auto" w:fill="FFFFFF"/>
                    <w:rPr>
                      <w:rFonts w:ascii="Arial" w:hAnsi="Arial" w:cs="Arial"/>
                      <w:color w:val="000000"/>
                      <w:sz w:val="23"/>
                      <w:szCs w:val="23"/>
                    </w:rPr>
                  </w:pPr>
                  <w:r>
                    <w:rPr>
                      <w:rFonts w:ascii="Arial" w:hAnsi="Arial" w:cs="Arial"/>
                      <w:color w:val="000000"/>
                      <w:sz w:val="23"/>
                      <w:szCs w:val="23"/>
                    </w:rPr>
                    <w:t>For events with multiple sessions, such as annual meetings, accredited (approved) providers report one activity and calculate the hours of instruction by totaling the hours of all educational sessions offered for CNE/NCPD credit. To calculate the numbers of learners, accredited (approved) providers report the number of learners that were awarded contact hours or OBCE credit. Accredited (approved) providers are not required to calculate participant totals from the individual sessions.</w:t>
                  </w:r>
                </w:p>
                <w:p w14:paraId="33708A02" w14:textId="77777777" w:rsidR="008D6688" w:rsidRDefault="008D6688" w:rsidP="008D6688">
                  <w:pPr>
                    <w:rPr>
                      <w:rFonts w:ascii="Arial" w:eastAsia="Times New Roman" w:hAnsi="Arial" w:cs="Arial"/>
                      <w:color w:val="000000"/>
                      <w:kern w:val="0"/>
                      <w:sz w:val="23"/>
                      <w:szCs w:val="23"/>
                      <w14:ligatures w14:val="none"/>
                    </w:rPr>
                  </w:pPr>
                </w:p>
              </w:tc>
            </w:tr>
            <w:tr w:rsidR="008D6688" w14:paraId="3D9ABB42" w14:textId="77777777" w:rsidTr="008D6688">
              <w:tc>
                <w:tcPr>
                  <w:tcW w:w="1251" w:type="dxa"/>
                </w:tcPr>
                <w:p w14:paraId="4F75CF3F" w14:textId="183278E8" w:rsidR="008D6688" w:rsidRDefault="008D6688" w:rsidP="008D6688">
                  <w:pPr>
                    <w:jc w:val="center"/>
                    <w:rPr>
                      <w:rFonts w:ascii="Arial" w:eastAsia="Times New Roman" w:hAnsi="Arial" w:cs="Arial"/>
                      <w:color w:val="000000"/>
                      <w:kern w:val="0"/>
                      <w:sz w:val="23"/>
                      <w:szCs w:val="23"/>
                      <w14:ligatures w14:val="none"/>
                    </w:rPr>
                  </w:pPr>
                  <w:r>
                    <w:rPr>
                      <w:rFonts w:ascii="Arial" w:eastAsia="Times New Roman" w:hAnsi="Arial" w:cs="Arial"/>
                      <w:color w:val="000000"/>
                      <w:kern w:val="0"/>
                      <w:sz w:val="23"/>
                      <w:szCs w:val="23"/>
                      <w14:ligatures w14:val="none"/>
                    </w:rPr>
                    <w:t>IL</w:t>
                  </w:r>
                </w:p>
              </w:tc>
              <w:tc>
                <w:tcPr>
                  <w:tcW w:w="1252" w:type="dxa"/>
                </w:tcPr>
                <w:p w14:paraId="759C8A9C" w14:textId="6EFBDC94" w:rsidR="008D6688" w:rsidRDefault="008D6688" w:rsidP="008D6688">
                  <w:pPr>
                    <w:jc w:val="center"/>
                    <w:rPr>
                      <w:rFonts w:ascii="Arial" w:eastAsia="Times New Roman" w:hAnsi="Arial" w:cs="Arial"/>
                      <w:color w:val="000000"/>
                      <w:kern w:val="0"/>
                      <w:sz w:val="23"/>
                      <w:szCs w:val="23"/>
                      <w14:ligatures w14:val="none"/>
                    </w:rPr>
                  </w:pPr>
                  <w:r>
                    <w:rPr>
                      <w:rFonts w:ascii="Arial" w:eastAsia="Times New Roman" w:hAnsi="Arial" w:cs="Arial"/>
                      <w:color w:val="000000"/>
                      <w:kern w:val="0"/>
                      <w:sz w:val="23"/>
                      <w:szCs w:val="23"/>
                      <w14:ligatures w14:val="none"/>
                    </w:rPr>
                    <w:t>Internet Live Course</w:t>
                  </w:r>
                </w:p>
              </w:tc>
              <w:tc>
                <w:tcPr>
                  <w:tcW w:w="11532" w:type="dxa"/>
                </w:tcPr>
                <w:p w14:paraId="3F7D6D80" w14:textId="77777777" w:rsidR="008D6688" w:rsidRDefault="008D6688" w:rsidP="008D6688">
                  <w:pPr>
                    <w:rPr>
                      <w:rFonts w:ascii="Arial" w:hAnsi="Arial" w:cs="Arial"/>
                      <w:b/>
                      <w:bCs/>
                      <w:color w:val="000000"/>
                      <w:sz w:val="23"/>
                      <w:szCs w:val="23"/>
                      <w:shd w:val="clear" w:color="auto" w:fill="FFFFFF"/>
                    </w:rPr>
                  </w:pPr>
                  <w:r>
                    <w:rPr>
                      <w:rFonts w:ascii="Arial" w:hAnsi="Arial" w:cs="Arial"/>
                      <w:color w:val="000000"/>
                      <w:sz w:val="23"/>
                      <w:szCs w:val="23"/>
                      <w:shd w:val="clear" w:color="auto" w:fill="FFFFFF"/>
                    </w:rPr>
                    <w:t>An Internet live activity is an online course available via the Internet at a certain time on a certain date and is only available in real-time, just as if it were a course held in an auditorium. Once the event has taken place, learners may no longer participate in that activity unless it is again presented on a specific date and time and is only available in real-time</w:t>
                  </w:r>
                  <w:r>
                    <w:rPr>
                      <w:rStyle w:val="Strong"/>
                      <w:rFonts w:ascii="Arial" w:hAnsi="Arial" w:cs="Arial"/>
                      <w:color w:val="000000"/>
                      <w:sz w:val="23"/>
                      <w:szCs w:val="23"/>
                      <w:shd w:val="clear" w:color="auto" w:fill="FFFFFF"/>
                    </w:rPr>
                    <w:t>.</w:t>
                  </w:r>
                  <w:r>
                    <w:rPr>
                      <w:rFonts w:ascii="Arial" w:hAnsi="Arial" w:cs="Arial"/>
                      <w:color w:val="000000"/>
                      <w:sz w:val="23"/>
                      <w:szCs w:val="23"/>
                      <w:shd w:val="clear" w:color="auto" w:fill="FFFFFF"/>
                    </w:rPr>
                    <w:t> </w:t>
                  </w:r>
                  <w:r w:rsidRPr="00F37803">
                    <w:rPr>
                      <w:rFonts w:ascii="Arial" w:hAnsi="Arial" w:cs="Arial"/>
                      <w:b/>
                      <w:bCs/>
                      <w:color w:val="000000"/>
                      <w:sz w:val="23"/>
                      <w:szCs w:val="23"/>
                      <w:shd w:val="clear" w:color="auto" w:fill="FFFFFF"/>
                    </w:rPr>
                    <w:t>Example:</w:t>
                  </w:r>
                  <w:r>
                    <w:rPr>
                      <w:rFonts w:ascii="Arial" w:hAnsi="Arial" w:cs="Arial"/>
                      <w:color w:val="000000"/>
                      <w:sz w:val="23"/>
                      <w:szCs w:val="23"/>
                      <w:shd w:val="clear" w:color="auto" w:fill="FFFFFF"/>
                    </w:rPr>
                    <w:t> </w:t>
                  </w:r>
                  <w:r w:rsidRPr="008D6688">
                    <w:rPr>
                      <w:rFonts w:ascii="Arial" w:hAnsi="Arial" w:cs="Arial"/>
                      <w:b/>
                      <w:bCs/>
                      <w:color w:val="000000"/>
                      <w:sz w:val="23"/>
                      <w:szCs w:val="23"/>
                      <w:shd w:val="clear" w:color="auto" w:fill="FFFFFF"/>
                    </w:rPr>
                    <w:t>virtual</w:t>
                  </w:r>
                  <w:r>
                    <w:rPr>
                      <w:rFonts w:ascii="Arial" w:hAnsi="Arial" w:cs="Arial"/>
                      <w:color w:val="000000"/>
                      <w:sz w:val="23"/>
                      <w:szCs w:val="23"/>
                      <w:shd w:val="clear" w:color="auto" w:fill="FFFFFF"/>
                    </w:rPr>
                    <w:t xml:space="preserve"> </w:t>
                  </w:r>
                  <w:r>
                    <w:rPr>
                      <w:rFonts w:ascii="Arial" w:hAnsi="Arial" w:cs="Arial"/>
                      <w:b/>
                      <w:bCs/>
                      <w:color w:val="000000"/>
                      <w:sz w:val="23"/>
                      <w:szCs w:val="23"/>
                      <w:shd w:val="clear" w:color="auto" w:fill="FFFFFF"/>
                    </w:rPr>
                    <w:t>SIG meetings</w:t>
                  </w:r>
                </w:p>
                <w:p w14:paraId="117E8400" w14:textId="68564E15" w:rsidR="00F37803" w:rsidRPr="008D6688" w:rsidRDefault="00F37803" w:rsidP="008D6688">
                  <w:pPr>
                    <w:rPr>
                      <w:rFonts w:ascii="Arial" w:eastAsia="Times New Roman" w:hAnsi="Arial" w:cs="Arial"/>
                      <w:b/>
                      <w:bCs/>
                      <w:color w:val="000000"/>
                      <w:kern w:val="0"/>
                      <w:sz w:val="23"/>
                      <w:szCs w:val="23"/>
                      <w14:ligatures w14:val="none"/>
                    </w:rPr>
                  </w:pPr>
                </w:p>
              </w:tc>
            </w:tr>
            <w:tr w:rsidR="008D6688" w14:paraId="171A18AA" w14:textId="77777777" w:rsidTr="008D6688">
              <w:tc>
                <w:tcPr>
                  <w:tcW w:w="1251" w:type="dxa"/>
                </w:tcPr>
                <w:p w14:paraId="740EA2D9" w14:textId="28BF44A0" w:rsidR="008D6688" w:rsidRDefault="008D6688" w:rsidP="008D6688">
                  <w:pPr>
                    <w:jc w:val="center"/>
                    <w:rPr>
                      <w:rFonts w:ascii="Arial" w:eastAsia="Times New Roman" w:hAnsi="Arial" w:cs="Arial"/>
                      <w:color w:val="000000"/>
                      <w:kern w:val="0"/>
                      <w:sz w:val="23"/>
                      <w:szCs w:val="23"/>
                      <w14:ligatures w14:val="none"/>
                    </w:rPr>
                  </w:pPr>
                  <w:r>
                    <w:rPr>
                      <w:rFonts w:ascii="Arial" w:eastAsia="Times New Roman" w:hAnsi="Arial" w:cs="Arial"/>
                      <w:color w:val="000000"/>
                      <w:kern w:val="0"/>
                      <w:sz w:val="23"/>
                      <w:szCs w:val="23"/>
                      <w14:ligatures w14:val="none"/>
                    </w:rPr>
                    <w:t>JN</w:t>
                  </w:r>
                </w:p>
              </w:tc>
              <w:tc>
                <w:tcPr>
                  <w:tcW w:w="1252" w:type="dxa"/>
                </w:tcPr>
                <w:p w14:paraId="708A50CC" w14:textId="4E60F37E" w:rsidR="008D6688" w:rsidRDefault="008D6688" w:rsidP="008D6688">
                  <w:pPr>
                    <w:jc w:val="center"/>
                    <w:rPr>
                      <w:rFonts w:ascii="Arial" w:eastAsia="Times New Roman" w:hAnsi="Arial" w:cs="Arial"/>
                      <w:color w:val="000000"/>
                      <w:kern w:val="0"/>
                      <w:sz w:val="23"/>
                      <w:szCs w:val="23"/>
                      <w14:ligatures w14:val="none"/>
                    </w:rPr>
                  </w:pPr>
                  <w:r>
                    <w:rPr>
                      <w:rFonts w:ascii="Arial" w:eastAsia="Times New Roman" w:hAnsi="Arial" w:cs="Arial"/>
                      <w:color w:val="000000"/>
                      <w:kern w:val="0"/>
                      <w:sz w:val="23"/>
                      <w:szCs w:val="23"/>
                      <w14:ligatures w14:val="none"/>
                    </w:rPr>
                    <w:t>Journal-Based CNE</w:t>
                  </w:r>
                </w:p>
              </w:tc>
              <w:tc>
                <w:tcPr>
                  <w:tcW w:w="11532" w:type="dxa"/>
                </w:tcPr>
                <w:p w14:paraId="461DB31B" w14:textId="0B30770E" w:rsidR="008D6688" w:rsidRDefault="008D6688" w:rsidP="008D6688">
                  <w:pPr>
                    <w:pStyle w:val="NormalWeb"/>
                    <w:shd w:val="clear" w:color="auto" w:fill="F3F3F3"/>
                    <w:rPr>
                      <w:rFonts w:ascii="Arial" w:hAnsi="Arial" w:cs="Arial"/>
                      <w:color w:val="000000"/>
                      <w:sz w:val="23"/>
                      <w:szCs w:val="23"/>
                    </w:rPr>
                  </w:pPr>
                  <w:r>
                    <w:rPr>
                      <w:rFonts w:ascii="Arial" w:hAnsi="Arial" w:cs="Arial"/>
                      <w:color w:val="000000"/>
                      <w:sz w:val="23"/>
                      <w:szCs w:val="23"/>
                    </w:rPr>
                    <w:t xml:space="preserve">A journal-based CNE activity </w:t>
                  </w:r>
                  <w:r w:rsidRPr="00F37803">
                    <w:rPr>
                      <w:rFonts w:ascii="Arial" w:hAnsi="Arial" w:cs="Arial"/>
                      <w:color w:val="0070C0"/>
                      <w:sz w:val="23"/>
                      <w:szCs w:val="23"/>
                    </w:rPr>
                    <w:t xml:space="preserve">includes </w:t>
                  </w:r>
                  <w:r w:rsidR="00F37803">
                    <w:rPr>
                      <w:rFonts w:ascii="Arial" w:hAnsi="Arial" w:cs="Arial"/>
                      <w:color w:val="0070C0"/>
                      <w:sz w:val="23"/>
                      <w:szCs w:val="23"/>
                    </w:rPr>
                    <w:t xml:space="preserve">(1) </w:t>
                  </w:r>
                  <w:r w:rsidRPr="00F37803">
                    <w:rPr>
                      <w:rFonts w:ascii="Arial" w:hAnsi="Arial" w:cs="Arial"/>
                      <w:color w:val="0070C0"/>
                      <w:sz w:val="23"/>
                      <w:szCs w:val="23"/>
                    </w:rPr>
                    <w:t>the reading of an article</w:t>
                  </w:r>
                  <w:r>
                    <w:rPr>
                      <w:rFonts w:ascii="Arial" w:hAnsi="Arial" w:cs="Arial"/>
                      <w:color w:val="000000"/>
                      <w:sz w:val="23"/>
                      <w:szCs w:val="23"/>
                    </w:rPr>
                    <w:t xml:space="preserve">, an accredited provider </w:t>
                  </w:r>
                  <w:r w:rsidR="00F37803">
                    <w:rPr>
                      <w:rFonts w:ascii="Arial" w:hAnsi="Arial" w:cs="Arial"/>
                      <w:color w:val="000000"/>
                      <w:sz w:val="23"/>
                      <w:szCs w:val="23"/>
                    </w:rPr>
                    <w:t xml:space="preserve"> </w:t>
                  </w:r>
                  <w:r w:rsidR="00F37803" w:rsidRPr="00F37803">
                    <w:rPr>
                      <w:rFonts w:ascii="Arial" w:hAnsi="Arial" w:cs="Arial"/>
                      <w:color w:val="0070C0"/>
                      <w:sz w:val="23"/>
                      <w:szCs w:val="23"/>
                    </w:rPr>
                    <w:t xml:space="preserve">(2) </w:t>
                  </w:r>
                  <w:r w:rsidRPr="00F37803">
                    <w:rPr>
                      <w:rFonts w:ascii="Arial" w:hAnsi="Arial" w:cs="Arial"/>
                      <w:color w:val="0070C0"/>
                      <w:sz w:val="23"/>
                      <w:szCs w:val="23"/>
                    </w:rPr>
                    <w:t xml:space="preserve">learner engagement strategy </w:t>
                  </w:r>
                  <w:r>
                    <w:rPr>
                      <w:rFonts w:ascii="Arial" w:hAnsi="Arial" w:cs="Arial"/>
                      <w:color w:val="000000"/>
                      <w:sz w:val="23"/>
                      <w:szCs w:val="23"/>
                    </w:rPr>
                    <w:t>(that may include reflection, discussion, or debate about the material contained in the article(s), and</w:t>
                  </w:r>
                  <w:r w:rsidR="00F37803">
                    <w:rPr>
                      <w:rFonts w:ascii="Arial" w:hAnsi="Arial" w:cs="Arial"/>
                      <w:color w:val="000000"/>
                      <w:sz w:val="23"/>
                      <w:szCs w:val="23"/>
                    </w:rPr>
                    <w:t xml:space="preserve"> </w:t>
                  </w:r>
                  <w:r w:rsidR="00F37803" w:rsidRPr="00F37803">
                    <w:rPr>
                      <w:rFonts w:ascii="Arial" w:hAnsi="Arial" w:cs="Arial"/>
                      <w:color w:val="0070C0"/>
                      <w:sz w:val="23"/>
                      <w:szCs w:val="23"/>
                    </w:rPr>
                    <w:t>(3)</w:t>
                  </w:r>
                  <w:r w:rsidRPr="00F37803">
                    <w:rPr>
                      <w:rFonts w:ascii="Arial" w:hAnsi="Arial" w:cs="Arial"/>
                      <w:color w:val="0070C0"/>
                      <w:sz w:val="23"/>
                      <w:szCs w:val="23"/>
                    </w:rPr>
                    <w:t xml:space="preserve"> a requirement for the completion by the learner of a pre-determined set of questions or tasks relating to the content of the material as part of the learning process</w:t>
                  </w:r>
                  <w:r w:rsidR="00F37803" w:rsidRPr="00F37803">
                    <w:rPr>
                      <w:rFonts w:ascii="Arial" w:hAnsi="Arial" w:cs="Arial"/>
                      <w:color w:val="0070C0"/>
                      <w:sz w:val="23"/>
                      <w:szCs w:val="23"/>
                    </w:rPr>
                    <w:t xml:space="preserve"> (</w:t>
                  </w:r>
                  <w:r w:rsidR="00F37803" w:rsidRPr="00F37803">
                    <w:rPr>
                      <w:rFonts w:ascii="Arial" w:hAnsi="Arial" w:cs="Arial"/>
                      <w:b/>
                      <w:bCs/>
                      <w:color w:val="0070C0"/>
                      <w:sz w:val="23"/>
                      <w:szCs w:val="23"/>
                    </w:rPr>
                    <w:t>post-test</w:t>
                  </w:r>
                  <w:r w:rsidR="00F37803" w:rsidRPr="00F37803">
                    <w:rPr>
                      <w:rFonts w:ascii="Arial" w:hAnsi="Arial" w:cs="Arial"/>
                      <w:color w:val="0070C0"/>
                      <w:sz w:val="23"/>
                      <w:szCs w:val="23"/>
                    </w:rPr>
                    <w:t>)</w:t>
                  </w:r>
                  <w:r w:rsidRPr="00F37803">
                    <w:rPr>
                      <w:rFonts w:ascii="Arial" w:hAnsi="Arial" w:cs="Arial"/>
                      <w:color w:val="0070C0"/>
                      <w:sz w:val="23"/>
                      <w:szCs w:val="23"/>
                    </w:rPr>
                    <w:t>.</w:t>
                  </w:r>
                </w:p>
                <w:p w14:paraId="7C6CF2F0" w14:textId="5A0B643C" w:rsidR="008D6688" w:rsidRDefault="008D6688" w:rsidP="008D6688">
                  <w:pPr>
                    <w:pStyle w:val="NormalWeb"/>
                    <w:shd w:val="clear" w:color="auto" w:fill="F3F3F3"/>
                    <w:rPr>
                      <w:rFonts w:ascii="Arial" w:hAnsi="Arial" w:cs="Arial"/>
                      <w:color w:val="000000"/>
                      <w:sz w:val="23"/>
                      <w:szCs w:val="23"/>
                    </w:rPr>
                  </w:pPr>
                  <w:r>
                    <w:rPr>
                      <w:rFonts w:ascii="Arial" w:hAnsi="Arial" w:cs="Arial"/>
                      <w:color w:val="000000"/>
                      <w:sz w:val="23"/>
                      <w:szCs w:val="23"/>
                    </w:rPr>
                    <w:t>The ANCC does not consider a journal-based CNE activity to have been completed until the learner documents participation in that activity to the provider. *</w:t>
                  </w:r>
                  <w:r w:rsidR="00F37803">
                    <w:rPr>
                      <w:rFonts w:ascii="Arial" w:hAnsi="Arial" w:cs="Arial"/>
                      <w:color w:val="000000"/>
                      <w:sz w:val="23"/>
                      <w:szCs w:val="23"/>
                    </w:rPr>
                    <w:t>Learner</w:t>
                  </w:r>
                  <w:r>
                    <w:rPr>
                      <w:rFonts w:ascii="Arial" w:hAnsi="Arial" w:cs="Arial"/>
                      <w:color w:val="000000"/>
                      <w:sz w:val="23"/>
                      <w:szCs w:val="23"/>
                    </w:rPr>
                    <w:t xml:space="preserve"> must attest on evaluation that they read the article(s)</w:t>
                  </w:r>
                  <w:r w:rsidR="00F37803">
                    <w:rPr>
                      <w:rFonts w:ascii="Arial" w:hAnsi="Arial" w:cs="Arial"/>
                      <w:color w:val="000000"/>
                      <w:sz w:val="23"/>
                      <w:szCs w:val="23"/>
                    </w:rPr>
                    <w:t xml:space="preserve">. </w:t>
                  </w:r>
                  <w:r w:rsidR="00F37803" w:rsidRPr="00F37803">
                    <w:rPr>
                      <w:rFonts w:ascii="Arial" w:hAnsi="Arial" w:cs="Arial"/>
                      <w:b/>
                      <w:bCs/>
                      <w:color w:val="000000"/>
                      <w:sz w:val="23"/>
                      <w:szCs w:val="23"/>
                    </w:rPr>
                    <w:t>Example: Journal Club meetings</w:t>
                  </w:r>
                </w:p>
                <w:p w14:paraId="054A8698" w14:textId="77777777" w:rsidR="008D6688" w:rsidRDefault="008D6688" w:rsidP="008D6688">
                  <w:pPr>
                    <w:rPr>
                      <w:rFonts w:ascii="Arial" w:eastAsia="Times New Roman" w:hAnsi="Arial" w:cs="Arial"/>
                      <w:color w:val="000000"/>
                      <w:kern w:val="0"/>
                      <w:sz w:val="23"/>
                      <w:szCs w:val="23"/>
                      <w14:ligatures w14:val="none"/>
                    </w:rPr>
                  </w:pPr>
                </w:p>
              </w:tc>
            </w:tr>
            <w:tr w:rsidR="008D6688" w14:paraId="17DB1D35" w14:textId="77777777" w:rsidTr="008D6688">
              <w:tc>
                <w:tcPr>
                  <w:tcW w:w="1251" w:type="dxa"/>
                </w:tcPr>
                <w:p w14:paraId="5F30E203" w14:textId="11A398BB" w:rsidR="008D6688" w:rsidRDefault="00F37803" w:rsidP="008D6688">
                  <w:pPr>
                    <w:jc w:val="center"/>
                    <w:rPr>
                      <w:rFonts w:ascii="Arial" w:eastAsia="Times New Roman" w:hAnsi="Arial" w:cs="Arial"/>
                      <w:color w:val="000000"/>
                      <w:kern w:val="0"/>
                      <w:sz w:val="23"/>
                      <w:szCs w:val="23"/>
                      <w14:ligatures w14:val="none"/>
                    </w:rPr>
                  </w:pPr>
                  <w:r>
                    <w:rPr>
                      <w:rFonts w:ascii="Arial" w:eastAsia="Times New Roman" w:hAnsi="Arial" w:cs="Arial"/>
                      <w:color w:val="000000"/>
                      <w:kern w:val="0"/>
                      <w:sz w:val="23"/>
                      <w:szCs w:val="23"/>
                      <w14:ligatures w14:val="none"/>
                    </w:rPr>
                    <w:t>IEM</w:t>
                  </w:r>
                </w:p>
              </w:tc>
              <w:tc>
                <w:tcPr>
                  <w:tcW w:w="1252" w:type="dxa"/>
                </w:tcPr>
                <w:p w14:paraId="715B6607" w14:textId="2F9AE5F8" w:rsidR="008D6688" w:rsidRDefault="00F37803" w:rsidP="008D6688">
                  <w:pPr>
                    <w:jc w:val="center"/>
                    <w:rPr>
                      <w:rFonts w:ascii="Arial" w:eastAsia="Times New Roman" w:hAnsi="Arial" w:cs="Arial"/>
                      <w:color w:val="000000"/>
                      <w:kern w:val="0"/>
                      <w:sz w:val="23"/>
                      <w:szCs w:val="23"/>
                      <w14:ligatures w14:val="none"/>
                    </w:rPr>
                  </w:pPr>
                  <w:r>
                    <w:rPr>
                      <w:rFonts w:ascii="Arial" w:eastAsia="Times New Roman" w:hAnsi="Arial" w:cs="Arial"/>
                      <w:color w:val="000000"/>
                      <w:kern w:val="0"/>
                      <w:sz w:val="23"/>
                      <w:szCs w:val="23"/>
                      <w14:ligatures w14:val="none"/>
                    </w:rPr>
                    <w:t>Internet Activity Enduring Material</w:t>
                  </w:r>
                </w:p>
              </w:tc>
              <w:tc>
                <w:tcPr>
                  <w:tcW w:w="11532" w:type="dxa"/>
                </w:tcPr>
                <w:p w14:paraId="2D6C27BE" w14:textId="77777777" w:rsidR="00F37803" w:rsidRDefault="00F37803" w:rsidP="00F37803">
                  <w:pPr>
                    <w:pStyle w:val="NormalWeb"/>
                    <w:shd w:val="clear" w:color="auto" w:fill="FFFFFF"/>
                    <w:rPr>
                      <w:rFonts w:ascii="Arial" w:hAnsi="Arial" w:cs="Arial"/>
                      <w:color w:val="000000"/>
                      <w:sz w:val="23"/>
                      <w:szCs w:val="23"/>
                    </w:rPr>
                  </w:pPr>
                  <w:r>
                    <w:rPr>
                      <w:rFonts w:ascii="Arial" w:hAnsi="Arial" w:cs="Arial"/>
                      <w:color w:val="000000"/>
                      <w:sz w:val="23"/>
                      <w:szCs w:val="23"/>
                    </w:rPr>
                    <w:t>An Internet enduring material activity is an "on demand activity," meaning that there is no specific time designated for participation. Rather, the participant determines when to complete the activity. Examples: online interactive educational module, recorded presentation, podcast.</w:t>
                  </w:r>
                </w:p>
                <w:p w14:paraId="293D6D61" w14:textId="0E13460C" w:rsidR="00F37803" w:rsidRDefault="00F37803" w:rsidP="00F37803">
                  <w:pPr>
                    <w:pStyle w:val="NormalWeb"/>
                    <w:shd w:val="clear" w:color="auto" w:fill="FFFFFF"/>
                    <w:rPr>
                      <w:rFonts w:ascii="Arial" w:hAnsi="Arial" w:cs="Arial"/>
                      <w:color w:val="000000"/>
                      <w:sz w:val="23"/>
                      <w:szCs w:val="23"/>
                    </w:rPr>
                  </w:pPr>
                  <w:r>
                    <w:rPr>
                      <w:rFonts w:ascii="Arial" w:hAnsi="Arial" w:cs="Arial"/>
                      <w:color w:val="000000"/>
                      <w:sz w:val="23"/>
                      <w:szCs w:val="23"/>
                    </w:rPr>
                    <w:t>Internet enduring materials can be available for less than a year, a year, or multiple years. </w:t>
                  </w:r>
                  <w:r w:rsidRPr="00F37803">
                    <w:rPr>
                      <w:rStyle w:val="Strong"/>
                      <w:rFonts w:ascii="Arial" w:eastAsiaTheme="majorEastAsia" w:hAnsi="Arial" w:cs="Arial"/>
                      <w:b w:val="0"/>
                      <w:bCs w:val="0"/>
                      <w:color w:val="000000"/>
                      <w:sz w:val="23"/>
                      <w:szCs w:val="23"/>
                    </w:rPr>
                    <w:t>Each Internet enduring material is counted as one activity for each year it is available, whether it is active for the entire year or part of the year.</w:t>
                  </w:r>
                  <w:r w:rsidRPr="00F37803">
                    <w:rPr>
                      <w:rFonts w:ascii="Arial" w:hAnsi="Arial" w:cs="Arial"/>
                      <w:b/>
                      <w:bCs/>
                      <w:color w:val="000000"/>
                      <w:sz w:val="23"/>
                      <w:szCs w:val="23"/>
                    </w:rPr>
                    <w:t> </w:t>
                  </w:r>
                  <w:r w:rsidRPr="00F37803">
                    <w:rPr>
                      <w:rFonts w:ascii="Arial" w:hAnsi="Arial" w:cs="Arial"/>
                      <w:color w:val="000000"/>
                      <w:sz w:val="23"/>
                      <w:szCs w:val="23"/>
                    </w:rPr>
                    <w:t>The accredited provider reports the number of learners who</w:t>
                  </w:r>
                  <w:r>
                    <w:rPr>
                      <w:rFonts w:ascii="Arial" w:hAnsi="Arial" w:cs="Arial"/>
                      <w:color w:val="000000"/>
                      <w:sz w:val="23"/>
                      <w:szCs w:val="23"/>
                    </w:rPr>
                    <w:t xml:space="preserve"> participated during the year. Accredited providers do not report cumulative data for an Internet enduring material activity spanning multiple years.  </w:t>
                  </w:r>
                  <w:r w:rsidRPr="00F37803">
                    <w:rPr>
                      <w:rFonts w:ascii="Arial" w:hAnsi="Arial" w:cs="Arial"/>
                      <w:b/>
                      <w:bCs/>
                      <w:color w:val="000000"/>
                      <w:sz w:val="23"/>
                      <w:szCs w:val="23"/>
                    </w:rPr>
                    <w:t>Example: SOHN School</w:t>
                  </w:r>
                </w:p>
                <w:p w14:paraId="5A660BAF" w14:textId="77777777" w:rsidR="008D6688" w:rsidRDefault="008D6688" w:rsidP="008D6688">
                  <w:pPr>
                    <w:rPr>
                      <w:rFonts w:ascii="Arial" w:eastAsia="Times New Roman" w:hAnsi="Arial" w:cs="Arial"/>
                      <w:color w:val="000000"/>
                      <w:kern w:val="0"/>
                      <w:sz w:val="23"/>
                      <w:szCs w:val="23"/>
                      <w14:ligatures w14:val="none"/>
                    </w:rPr>
                  </w:pPr>
                </w:p>
              </w:tc>
            </w:tr>
            <w:tr w:rsidR="008D6688" w14:paraId="6B50225F" w14:textId="77777777" w:rsidTr="008D6688">
              <w:tc>
                <w:tcPr>
                  <w:tcW w:w="1251" w:type="dxa"/>
                </w:tcPr>
                <w:p w14:paraId="4BFC2B8E" w14:textId="053B61E6" w:rsidR="008D6688" w:rsidRDefault="00F37803" w:rsidP="008D6688">
                  <w:pPr>
                    <w:jc w:val="center"/>
                    <w:rPr>
                      <w:rFonts w:ascii="Arial" w:eastAsia="Times New Roman" w:hAnsi="Arial" w:cs="Arial"/>
                      <w:color w:val="000000"/>
                      <w:kern w:val="0"/>
                      <w:sz w:val="23"/>
                      <w:szCs w:val="23"/>
                      <w14:ligatures w14:val="none"/>
                    </w:rPr>
                  </w:pPr>
                  <w:r>
                    <w:rPr>
                      <w:rFonts w:ascii="Arial" w:eastAsia="Times New Roman" w:hAnsi="Arial" w:cs="Arial"/>
                      <w:color w:val="000000"/>
                      <w:kern w:val="0"/>
                      <w:sz w:val="23"/>
                      <w:szCs w:val="23"/>
                      <w14:ligatures w14:val="none"/>
                    </w:rPr>
                    <w:lastRenderedPageBreak/>
                    <w:t>EM</w:t>
                  </w:r>
                </w:p>
              </w:tc>
              <w:tc>
                <w:tcPr>
                  <w:tcW w:w="1252" w:type="dxa"/>
                </w:tcPr>
                <w:p w14:paraId="241FD45C" w14:textId="4694432C" w:rsidR="008D6688" w:rsidRDefault="00F37803" w:rsidP="008D6688">
                  <w:pPr>
                    <w:jc w:val="center"/>
                    <w:rPr>
                      <w:rFonts w:ascii="Arial" w:eastAsia="Times New Roman" w:hAnsi="Arial" w:cs="Arial"/>
                      <w:color w:val="000000"/>
                      <w:kern w:val="0"/>
                      <w:sz w:val="23"/>
                      <w:szCs w:val="23"/>
                      <w14:ligatures w14:val="none"/>
                    </w:rPr>
                  </w:pPr>
                  <w:r>
                    <w:rPr>
                      <w:rFonts w:ascii="Arial" w:eastAsia="Times New Roman" w:hAnsi="Arial" w:cs="Arial"/>
                      <w:color w:val="000000"/>
                      <w:kern w:val="0"/>
                      <w:sz w:val="23"/>
                      <w:szCs w:val="23"/>
                      <w14:ligatures w14:val="none"/>
                    </w:rPr>
                    <w:t>Enduring Material (</w:t>
                  </w:r>
                  <w:proofErr w:type="spellStart"/>
                  <w:r>
                    <w:rPr>
                      <w:rFonts w:ascii="Arial" w:eastAsia="Times New Roman" w:hAnsi="Arial" w:cs="Arial"/>
                      <w:color w:val="000000"/>
                      <w:kern w:val="0"/>
                      <w:sz w:val="23"/>
                      <w:szCs w:val="23"/>
                      <w14:ligatures w14:val="none"/>
                    </w:rPr>
                    <w:t>Homestudy</w:t>
                  </w:r>
                  <w:proofErr w:type="spellEnd"/>
                  <w:r>
                    <w:rPr>
                      <w:rFonts w:ascii="Arial" w:eastAsia="Times New Roman" w:hAnsi="Arial" w:cs="Arial"/>
                      <w:color w:val="000000"/>
                      <w:kern w:val="0"/>
                      <w:sz w:val="23"/>
                      <w:szCs w:val="23"/>
                      <w14:ligatures w14:val="none"/>
                    </w:rPr>
                    <w:t>)</w:t>
                  </w:r>
                </w:p>
              </w:tc>
              <w:tc>
                <w:tcPr>
                  <w:tcW w:w="11532" w:type="dxa"/>
                </w:tcPr>
                <w:p w14:paraId="742284DE" w14:textId="78309A37" w:rsidR="008D6688" w:rsidRDefault="00F37803" w:rsidP="008D6688">
                  <w:pPr>
                    <w:rPr>
                      <w:rFonts w:ascii="Arial" w:eastAsia="Times New Roman" w:hAnsi="Arial" w:cs="Arial"/>
                      <w:color w:val="000000"/>
                      <w:kern w:val="0"/>
                      <w:sz w:val="23"/>
                      <w:szCs w:val="23"/>
                      <w14:ligatures w14:val="none"/>
                    </w:rPr>
                  </w:pPr>
                  <w:r>
                    <w:rPr>
                      <w:rFonts w:ascii="Arial" w:hAnsi="Arial" w:cs="Arial"/>
                      <w:color w:val="000000"/>
                      <w:sz w:val="23"/>
                      <w:szCs w:val="23"/>
                      <w:shd w:val="clear" w:color="auto" w:fill="F3F3F3"/>
                    </w:rPr>
                    <w:t>An enduring material is an activity that is printed or recorded and does not have a specific time or location designated for participation. Rather, the participant determines where and when to complete the activity. Enduring materials can be available for less than a year, a year, or multiple years. Each enduring material is counted as 1 activity for each year it is available, whether it is active for the entire year or part of the year. The accredited (approved) provider reports the number of learners who participated during the year. Accredited (approved) providers do not report cumulative data for an enduring material activity spanning multiple years. </w:t>
                  </w:r>
                </w:p>
              </w:tc>
            </w:tr>
            <w:tr w:rsidR="008D6688" w14:paraId="290BA5F1" w14:textId="77777777" w:rsidTr="008D6688">
              <w:tc>
                <w:tcPr>
                  <w:tcW w:w="1251" w:type="dxa"/>
                </w:tcPr>
                <w:p w14:paraId="7C437BBD" w14:textId="77777777" w:rsidR="008D6688" w:rsidRDefault="008D6688" w:rsidP="008D6688">
                  <w:pPr>
                    <w:jc w:val="center"/>
                    <w:rPr>
                      <w:rFonts w:ascii="Arial" w:eastAsia="Times New Roman" w:hAnsi="Arial" w:cs="Arial"/>
                      <w:color w:val="000000"/>
                      <w:kern w:val="0"/>
                      <w:sz w:val="23"/>
                      <w:szCs w:val="23"/>
                      <w14:ligatures w14:val="none"/>
                    </w:rPr>
                  </w:pPr>
                </w:p>
              </w:tc>
              <w:tc>
                <w:tcPr>
                  <w:tcW w:w="1252" w:type="dxa"/>
                </w:tcPr>
                <w:p w14:paraId="43EEEAC9" w14:textId="77777777" w:rsidR="008D6688" w:rsidRDefault="008D6688" w:rsidP="008D6688">
                  <w:pPr>
                    <w:jc w:val="center"/>
                    <w:rPr>
                      <w:rFonts w:ascii="Arial" w:eastAsia="Times New Roman" w:hAnsi="Arial" w:cs="Arial"/>
                      <w:color w:val="000000"/>
                      <w:kern w:val="0"/>
                      <w:sz w:val="23"/>
                      <w:szCs w:val="23"/>
                      <w14:ligatures w14:val="none"/>
                    </w:rPr>
                  </w:pPr>
                </w:p>
              </w:tc>
              <w:tc>
                <w:tcPr>
                  <w:tcW w:w="11532" w:type="dxa"/>
                </w:tcPr>
                <w:p w14:paraId="3FB1F4DD" w14:textId="77777777" w:rsidR="008D6688" w:rsidRDefault="008D6688" w:rsidP="008D6688">
                  <w:pPr>
                    <w:rPr>
                      <w:rFonts w:ascii="Arial" w:eastAsia="Times New Roman" w:hAnsi="Arial" w:cs="Arial"/>
                      <w:color w:val="000000"/>
                      <w:kern w:val="0"/>
                      <w:sz w:val="23"/>
                      <w:szCs w:val="23"/>
                      <w14:ligatures w14:val="none"/>
                    </w:rPr>
                  </w:pPr>
                </w:p>
              </w:tc>
            </w:tr>
            <w:tr w:rsidR="008D6688" w14:paraId="46EDDA29" w14:textId="77777777" w:rsidTr="008D6688">
              <w:tc>
                <w:tcPr>
                  <w:tcW w:w="1251" w:type="dxa"/>
                </w:tcPr>
                <w:p w14:paraId="3EE9D85B" w14:textId="77777777" w:rsidR="008D6688" w:rsidRDefault="008D6688" w:rsidP="008D6688">
                  <w:pPr>
                    <w:jc w:val="center"/>
                    <w:rPr>
                      <w:rFonts w:ascii="Arial" w:eastAsia="Times New Roman" w:hAnsi="Arial" w:cs="Arial"/>
                      <w:color w:val="000000"/>
                      <w:kern w:val="0"/>
                      <w:sz w:val="23"/>
                      <w:szCs w:val="23"/>
                      <w14:ligatures w14:val="none"/>
                    </w:rPr>
                  </w:pPr>
                </w:p>
              </w:tc>
              <w:tc>
                <w:tcPr>
                  <w:tcW w:w="1252" w:type="dxa"/>
                </w:tcPr>
                <w:p w14:paraId="2C1DF1AD" w14:textId="77777777" w:rsidR="008D6688" w:rsidRDefault="008D6688" w:rsidP="008D6688">
                  <w:pPr>
                    <w:jc w:val="center"/>
                    <w:rPr>
                      <w:rFonts w:ascii="Arial" w:eastAsia="Times New Roman" w:hAnsi="Arial" w:cs="Arial"/>
                      <w:color w:val="000000"/>
                      <w:kern w:val="0"/>
                      <w:sz w:val="23"/>
                      <w:szCs w:val="23"/>
                      <w14:ligatures w14:val="none"/>
                    </w:rPr>
                  </w:pPr>
                </w:p>
              </w:tc>
              <w:tc>
                <w:tcPr>
                  <w:tcW w:w="11532" w:type="dxa"/>
                </w:tcPr>
                <w:p w14:paraId="13CD52CA" w14:textId="77777777" w:rsidR="008D6688" w:rsidRDefault="008D6688" w:rsidP="008D6688">
                  <w:pPr>
                    <w:rPr>
                      <w:rFonts w:ascii="Arial" w:eastAsia="Times New Roman" w:hAnsi="Arial" w:cs="Arial"/>
                      <w:color w:val="000000"/>
                      <w:kern w:val="0"/>
                      <w:sz w:val="23"/>
                      <w:szCs w:val="23"/>
                      <w14:ligatures w14:val="none"/>
                    </w:rPr>
                  </w:pPr>
                </w:p>
              </w:tc>
            </w:tr>
            <w:tr w:rsidR="008D6688" w14:paraId="28BC8C11" w14:textId="77777777" w:rsidTr="008D6688">
              <w:tc>
                <w:tcPr>
                  <w:tcW w:w="1251" w:type="dxa"/>
                </w:tcPr>
                <w:p w14:paraId="2DD73B60" w14:textId="77777777" w:rsidR="008D6688" w:rsidRDefault="008D6688" w:rsidP="008D6688">
                  <w:pPr>
                    <w:jc w:val="center"/>
                    <w:rPr>
                      <w:rFonts w:ascii="Arial" w:eastAsia="Times New Roman" w:hAnsi="Arial" w:cs="Arial"/>
                      <w:color w:val="000000"/>
                      <w:kern w:val="0"/>
                      <w:sz w:val="23"/>
                      <w:szCs w:val="23"/>
                      <w14:ligatures w14:val="none"/>
                    </w:rPr>
                  </w:pPr>
                </w:p>
              </w:tc>
              <w:tc>
                <w:tcPr>
                  <w:tcW w:w="1252" w:type="dxa"/>
                </w:tcPr>
                <w:p w14:paraId="350D9B9B" w14:textId="77777777" w:rsidR="008D6688" w:rsidRDefault="008D6688" w:rsidP="008D6688">
                  <w:pPr>
                    <w:jc w:val="center"/>
                    <w:rPr>
                      <w:rFonts w:ascii="Arial" w:eastAsia="Times New Roman" w:hAnsi="Arial" w:cs="Arial"/>
                      <w:color w:val="000000"/>
                      <w:kern w:val="0"/>
                      <w:sz w:val="23"/>
                      <w:szCs w:val="23"/>
                      <w14:ligatures w14:val="none"/>
                    </w:rPr>
                  </w:pPr>
                </w:p>
              </w:tc>
              <w:tc>
                <w:tcPr>
                  <w:tcW w:w="11532" w:type="dxa"/>
                </w:tcPr>
                <w:p w14:paraId="661758F5" w14:textId="77777777" w:rsidR="008D6688" w:rsidRDefault="008D6688" w:rsidP="008D6688">
                  <w:pPr>
                    <w:rPr>
                      <w:rFonts w:ascii="Arial" w:eastAsia="Times New Roman" w:hAnsi="Arial" w:cs="Arial"/>
                      <w:color w:val="000000"/>
                      <w:kern w:val="0"/>
                      <w:sz w:val="23"/>
                      <w:szCs w:val="23"/>
                      <w14:ligatures w14:val="none"/>
                    </w:rPr>
                  </w:pPr>
                </w:p>
              </w:tc>
            </w:tr>
            <w:tr w:rsidR="008D6688" w14:paraId="21531BE9" w14:textId="77777777" w:rsidTr="008D6688">
              <w:tc>
                <w:tcPr>
                  <w:tcW w:w="1251" w:type="dxa"/>
                </w:tcPr>
                <w:p w14:paraId="64563294" w14:textId="77777777" w:rsidR="008D6688" w:rsidRDefault="008D6688" w:rsidP="008D6688">
                  <w:pPr>
                    <w:jc w:val="center"/>
                    <w:rPr>
                      <w:rFonts w:ascii="Arial" w:eastAsia="Times New Roman" w:hAnsi="Arial" w:cs="Arial"/>
                      <w:color w:val="000000"/>
                      <w:kern w:val="0"/>
                      <w:sz w:val="23"/>
                      <w:szCs w:val="23"/>
                      <w14:ligatures w14:val="none"/>
                    </w:rPr>
                  </w:pPr>
                </w:p>
              </w:tc>
              <w:tc>
                <w:tcPr>
                  <w:tcW w:w="1252" w:type="dxa"/>
                </w:tcPr>
                <w:p w14:paraId="59DF3FC4" w14:textId="77777777" w:rsidR="008D6688" w:rsidRDefault="008D6688" w:rsidP="008D6688">
                  <w:pPr>
                    <w:jc w:val="center"/>
                    <w:rPr>
                      <w:rFonts w:ascii="Arial" w:eastAsia="Times New Roman" w:hAnsi="Arial" w:cs="Arial"/>
                      <w:color w:val="000000"/>
                      <w:kern w:val="0"/>
                      <w:sz w:val="23"/>
                      <w:szCs w:val="23"/>
                      <w14:ligatures w14:val="none"/>
                    </w:rPr>
                  </w:pPr>
                </w:p>
              </w:tc>
              <w:tc>
                <w:tcPr>
                  <w:tcW w:w="11532" w:type="dxa"/>
                </w:tcPr>
                <w:p w14:paraId="649E2089" w14:textId="77777777" w:rsidR="008D6688" w:rsidRDefault="008D6688" w:rsidP="008D6688">
                  <w:pPr>
                    <w:rPr>
                      <w:rFonts w:ascii="Arial" w:eastAsia="Times New Roman" w:hAnsi="Arial" w:cs="Arial"/>
                      <w:color w:val="000000"/>
                      <w:kern w:val="0"/>
                      <w:sz w:val="23"/>
                      <w:szCs w:val="23"/>
                      <w14:ligatures w14:val="none"/>
                    </w:rPr>
                  </w:pPr>
                </w:p>
              </w:tc>
            </w:tr>
          </w:tbl>
          <w:p w14:paraId="27A22FE8" w14:textId="1A8D8A2B" w:rsidR="008D6688" w:rsidRPr="008D6688" w:rsidRDefault="008D6688" w:rsidP="008D6688">
            <w:pPr>
              <w:spacing w:after="0" w:line="240" w:lineRule="auto"/>
              <w:rPr>
                <w:rFonts w:ascii="Arial" w:eastAsia="Times New Roman" w:hAnsi="Arial" w:cs="Arial"/>
                <w:color w:val="000000"/>
                <w:kern w:val="0"/>
                <w:sz w:val="23"/>
                <w:szCs w:val="23"/>
                <w14:ligatures w14:val="none"/>
              </w:rPr>
            </w:pPr>
          </w:p>
        </w:tc>
        <w:tc>
          <w:tcPr>
            <w:tcW w:w="0" w:type="auto"/>
            <w:shd w:val="clear" w:color="auto" w:fill="FFFFFF"/>
          </w:tcPr>
          <w:p w14:paraId="141496C0" w14:textId="21F3A1A9" w:rsidR="008D6688" w:rsidRPr="008D6688" w:rsidRDefault="008D6688" w:rsidP="008D6688">
            <w:pPr>
              <w:spacing w:after="0" w:line="240" w:lineRule="auto"/>
              <w:rPr>
                <w:rFonts w:ascii="Arial" w:eastAsia="Times New Roman" w:hAnsi="Arial" w:cs="Arial"/>
                <w:color w:val="000000"/>
                <w:kern w:val="0"/>
                <w:sz w:val="23"/>
                <w:szCs w:val="23"/>
                <w14:ligatures w14:val="none"/>
              </w:rPr>
            </w:pPr>
          </w:p>
        </w:tc>
        <w:tc>
          <w:tcPr>
            <w:tcW w:w="0" w:type="auto"/>
            <w:shd w:val="clear" w:color="auto" w:fill="FFFFFF"/>
          </w:tcPr>
          <w:p w14:paraId="0126E7B4" w14:textId="73586A51" w:rsidR="008D6688" w:rsidRPr="008D6688" w:rsidRDefault="008D6688" w:rsidP="008D6688">
            <w:pPr>
              <w:spacing w:before="100" w:beforeAutospacing="1" w:after="100" w:afterAutospacing="1" w:line="240" w:lineRule="auto"/>
              <w:rPr>
                <w:rFonts w:ascii="Arial" w:eastAsia="Times New Roman" w:hAnsi="Arial" w:cs="Arial"/>
                <w:color w:val="000000"/>
                <w:kern w:val="0"/>
                <w:sz w:val="23"/>
                <w:szCs w:val="23"/>
                <w14:ligatures w14:val="none"/>
              </w:rPr>
            </w:pPr>
          </w:p>
        </w:tc>
      </w:tr>
    </w:tbl>
    <w:p w14:paraId="2C47360E" w14:textId="77777777" w:rsidR="008D6688" w:rsidRDefault="008D6688"/>
    <w:sectPr w:rsidR="008D6688" w:rsidSect="008D668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8"/>
    <w:rsid w:val="003A5F5E"/>
    <w:rsid w:val="003C358A"/>
    <w:rsid w:val="00432DBE"/>
    <w:rsid w:val="005225AE"/>
    <w:rsid w:val="005D1B2D"/>
    <w:rsid w:val="005F7A80"/>
    <w:rsid w:val="008D6688"/>
    <w:rsid w:val="00AB28CD"/>
    <w:rsid w:val="00C33355"/>
    <w:rsid w:val="00F3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5C2A"/>
  <w15:chartTrackingRefBased/>
  <w15:docId w15:val="{F9965CEC-7639-4D24-B853-07E851B7B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6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6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6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6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6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6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688"/>
    <w:rPr>
      <w:rFonts w:eastAsiaTheme="majorEastAsia" w:cstheme="majorBidi"/>
      <w:color w:val="272727" w:themeColor="text1" w:themeTint="D8"/>
    </w:rPr>
  </w:style>
  <w:style w:type="paragraph" w:styleId="Title">
    <w:name w:val="Title"/>
    <w:basedOn w:val="Normal"/>
    <w:next w:val="Normal"/>
    <w:link w:val="TitleChar"/>
    <w:uiPriority w:val="10"/>
    <w:qFormat/>
    <w:rsid w:val="008D6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688"/>
    <w:pPr>
      <w:spacing w:before="160"/>
      <w:jc w:val="center"/>
    </w:pPr>
    <w:rPr>
      <w:i/>
      <w:iCs/>
      <w:color w:val="404040" w:themeColor="text1" w:themeTint="BF"/>
    </w:rPr>
  </w:style>
  <w:style w:type="character" w:customStyle="1" w:styleId="QuoteChar">
    <w:name w:val="Quote Char"/>
    <w:basedOn w:val="DefaultParagraphFont"/>
    <w:link w:val="Quote"/>
    <w:uiPriority w:val="29"/>
    <w:rsid w:val="008D6688"/>
    <w:rPr>
      <w:i/>
      <w:iCs/>
      <w:color w:val="404040" w:themeColor="text1" w:themeTint="BF"/>
    </w:rPr>
  </w:style>
  <w:style w:type="paragraph" w:styleId="ListParagraph">
    <w:name w:val="List Paragraph"/>
    <w:basedOn w:val="Normal"/>
    <w:uiPriority w:val="34"/>
    <w:qFormat/>
    <w:rsid w:val="008D6688"/>
    <w:pPr>
      <w:ind w:left="720"/>
      <w:contextualSpacing/>
    </w:pPr>
  </w:style>
  <w:style w:type="character" w:styleId="IntenseEmphasis">
    <w:name w:val="Intense Emphasis"/>
    <w:basedOn w:val="DefaultParagraphFont"/>
    <w:uiPriority w:val="21"/>
    <w:qFormat/>
    <w:rsid w:val="008D6688"/>
    <w:rPr>
      <w:i/>
      <w:iCs/>
      <w:color w:val="0F4761" w:themeColor="accent1" w:themeShade="BF"/>
    </w:rPr>
  </w:style>
  <w:style w:type="paragraph" w:styleId="IntenseQuote">
    <w:name w:val="Intense Quote"/>
    <w:basedOn w:val="Normal"/>
    <w:next w:val="Normal"/>
    <w:link w:val="IntenseQuoteChar"/>
    <w:uiPriority w:val="30"/>
    <w:qFormat/>
    <w:rsid w:val="008D6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688"/>
    <w:rPr>
      <w:i/>
      <w:iCs/>
      <w:color w:val="0F4761" w:themeColor="accent1" w:themeShade="BF"/>
    </w:rPr>
  </w:style>
  <w:style w:type="character" w:styleId="IntenseReference">
    <w:name w:val="Intense Reference"/>
    <w:basedOn w:val="DefaultParagraphFont"/>
    <w:uiPriority w:val="32"/>
    <w:qFormat/>
    <w:rsid w:val="008D6688"/>
    <w:rPr>
      <w:b/>
      <w:bCs/>
      <w:smallCaps/>
      <w:color w:val="0F4761" w:themeColor="accent1" w:themeShade="BF"/>
      <w:spacing w:val="5"/>
    </w:rPr>
  </w:style>
  <w:style w:type="table" w:styleId="TableGrid">
    <w:name w:val="Table Grid"/>
    <w:basedOn w:val="TableNormal"/>
    <w:uiPriority w:val="39"/>
    <w:rsid w:val="008D6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668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D66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845650">
      <w:bodyDiv w:val="1"/>
      <w:marLeft w:val="0"/>
      <w:marRight w:val="0"/>
      <w:marTop w:val="0"/>
      <w:marBottom w:val="0"/>
      <w:divBdr>
        <w:top w:val="none" w:sz="0" w:space="0" w:color="auto"/>
        <w:left w:val="none" w:sz="0" w:space="0" w:color="auto"/>
        <w:bottom w:val="none" w:sz="0" w:space="0" w:color="auto"/>
        <w:right w:val="none" w:sz="0" w:space="0" w:color="auto"/>
      </w:divBdr>
    </w:div>
    <w:div w:id="810446873">
      <w:bodyDiv w:val="1"/>
      <w:marLeft w:val="0"/>
      <w:marRight w:val="0"/>
      <w:marTop w:val="0"/>
      <w:marBottom w:val="0"/>
      <w:divBdr>
        <w:top w:val="none" w:sz="0" w:space="0" w:color="auto"/>
        <w:left w:val="none" w:sz="0" w:space="0" w:color="auto"/>
        <w:bottom w:val="none" w:sz="0" w:space="0" w:color="auto"/>
        <w:right w:val="none" w:sz="0" w:space="0" w:color="auto"/>
      </w:divBdr>
    </w:div>
    <w:div w:id="1305162127">
      <w:bodyDiv w:val="1"/>
      <w:marLeft w:val="0"/>
      <w:marRight w:val="0"/>
      <w:marTop w:val="0"/>
      <w:marBottom w:val="0"/>
      <w:divBdr>
        <w:top w:val="none" w:sz="0" w:space="0" w:color="auto"/>
        <w:left w:val="none" w:sz="0" w:space="0" w:color="auto"/>
        <w:bottom w:val="none" w:sz="0" w:space="0" w:color="auto"/>
        <w:right w:val="none" w:sz="0" w:space="0" w:color="auto"/>
      </w:divBdr>
    </w:div>
    <w:div w:id="1469736580">
      <w:bodyDiv w:val="1"/>
      <w:marLeft w:val="0"/>
      <w:marRight w:val="0"/>
      <w:marTop w:val="0"/>
      <w:marBottom w:val="0"/>
      <w:divBdr>
        <w:top w:val="none" w:sz="0" w:space="0" w:color="auto"/>
        <w:left w:val="none" w:sz="0" w:space="0" w:color="auto"/>
        <w:bottom w:val="none" w:sz="0" w:space="0" w:color="auto"/>
        <w:right w:val="none" w:sz="0" w:space="0" w:color="auto"/>
      </w:divBdr>
    </w:div>
    <w:div w:id="181483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GBMC</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Ulmer</dc:creator>
  <cp:keywords/>
  <dc:description/>
  <cp:lastModifiedBy>Karen Ulmer</cp:lastModifiedBy>
  <cp:revision>2</cp:revision>
  <dcterms:created xsi:type="dcterms:W3CDTF">2024-09-29T17:31:00Z</dcterms:created>
  <dcterms:modified xsi:type="dcterms:W3CDTF">2024-09-29T17:31:00Z</dcterms:modified>
</cp:coreProperties>
</file>